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31DEB3B3">
          <wp:simplePos x="0" y="0"/>
          <wp:positionH relativeFrom="column">
            <wp:posOffset>3267075</wp:posOffset>
          </wp:positionH>
          <wp:positionV relativeFrom="paragraph">
            <wp:posOffset>-531096</wp:posOffset>
          </wp:positionV>
          <wp:extent cx="1764792" cy="583148"/>
          <wp:effectExtent l="0" t="0" r="6985" b="762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8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A37494"/>
    <w:rsid w:val="00B844A9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2025-10-07T21:38:00Z</dcterms:modified>
</cp:coreProperties>
</file>